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C4AD" w14:textId="77777777" w:rsidR="00FC1311" w:rsidRPr="00FC1311" w:rsidRDefault="00FC1311" w:rsidP="00FC131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FC1311" w:rsidRPr="00FC1311" w14:paraId="1627E918" w14:textId="77777777" w:rsidTr="00EE0E18">
        <w:tc>
          <w:tcPr>
            <w:tcW w:w="3397" w:type="dxa"/>
          </w:tcPr>
          <w:p w14:paraId="248EEBEE" w14:textId="77777777" w:rsidR="00FC1311" w:rsidRPr="00FC1311" w:rsidRDefault="00FC1311" w:rsidP="00EE0E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1311">
              <w:rPr>
                <w:rFonts w:cstheme="minorHAnsi"/>
                <w:b/>
                <w:bCs/>
                <w:sz w:val="24"/>
                <w:szCs w:val="24"/>
              </w:rPr>
              <w:t>Chovanie</w:t>
            </w:r>
          </w:p>
        </w:tc>
        <w:tc>
          <w:tcPr>
            <w:tcW w:w="2835" w:type="dxa"/>
          </w:tcPr>
          <w:p w14:paraId="19FDBD17" w14:textId="77777777" w:rsidR="00FC1311" w:rsidRPr="00FC1311" w:rsidRDefault="00FC1311" w:rsidP="00EE0E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1311">
              <w:rPr>
                <w:rFonts w:cstheme="minorHAnsi"/>
                <w:b/>
                <w:bCs/>
                <w:sz w:val="24"/>
                <w:szCs w:val="24"/>
              </w:rPr>
              <w:t>Vyhodnotenie</w:t>
            </w:r>
          </w:p>
        </w:tc>
        <w:tc>
          <w:tcPr>
            <w:tcW w:w="2830" w:type="dxa"/>
          </w:tcPr>
          <w:p w14:paraId="364BD49A" w14:textId="77777777" w:rsidR="00FC1311" w:rsidRPr="00FC1311" w:rsidRDefault="00FC1311" w:rsidP="00EE0E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1311">
              <w:rPr>
                <w:rFonts w:cstheme="minorHAnsi"/>
                <w:b/>
                <w:bCs/>
                <w:sz w:val="24"/>
                <w:szCs w:val="24"/>
              </w:rPr>
              <w:t>Doporučené opatrenie</w:t>
            </w:r>
          </w:p>
        </w:tc>
      </w:tr>
      <w:tr w:rsidR="00FC1311" w:rsidRPr="00FC1311" w14:paraId="472E16F0" w14:textId="77777777" w:rsidTr="00EE0E18">
        <w:tc>
          <w:tcPr>
            <w:tcW w:w="3397" w:type="dxa"/>
          </w:tcPr>
          <w:p w14:paraId="14260CB2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za tmy prechádza v blízkosti ľudských sídiel</w:t>
            </w:r>
          </w:p>
        </w:tc>
        <w:tc>
          <w:tcPr>
            <w:tcW w:w="2835" w:type="dxa"/>
          </w:tcPr>
          <w:p w14:paraId="12C1CD60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Nie je nebezpečný</w:t>
            </w:r>
          </w:p>
        </w:tc>
        <w:tc>
          <w:tcPr>
            <w:tcW w:w="2830" w:type="dxa"/>
          </w:tcPr>
          <w:p w14:paraId="2FF0A502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Nie sú potrebné žiadne</w:t>
            </w:r>
          </w:p>
          <w:p w14:paraId="3DF6FBFE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opatrenia.</w:t>
            </w:r>
          </w:p>
        </w:tc>
      </w:tr>
      <w:tr w:rsidR="00FC1311" w:rsidRPr="00FC1311" w14:paraId="589AECB7" w14:textId="77777777" w:rsidTr="00EE0E18">
        <w:tc>
          <w:tcPr>
            <w:tcW w:w="3397" w:type="dxa"/>
          </w:tcPr>
          <w:p w14:paraId="4E32E2F5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sa pohybuje na dohľad ľudských sídiel, samôt za denného svetla</w:t>
            </w:r>
          </w:p>
        </w:tc>
        <w:tc>
          <w:tcPr>
            <w:tcW w:w="2835" w:type="dxa"/>
          </w:tcPr>
          <w:p w14:paraId="1139AED1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Nie je nebezpečný</w:t>
            </w:r>
          </w:p>
        </w:tc>
        <w:tc>
          <w:tcPr>
            <w:tcW w:w="2830" w:type="dxa"/>
          </w:tcPr>
          <w:p w14:paraId="6CF44B49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Nie sú potrebné žiadne</w:t>
            </w:r>
          </w:p>
          <w:p w14:paraId="72F914AC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opatrenia.</w:t>
            </w:r>
          </w:p>
        </w:tc>
      </w:tr>
      <w:tr w:rsidR="00FC1311" w:rsidRPr="00FC1311" w14:paraId="1B39469C" w14:textId="77777777" w:rsidTr="00EE0E18">
        <w:tc>
          <w:tcPr>
            <w:tcW w:w="3397" w:type="dxa"/>
          </w:tcPr>
          <w:p w14:paraId="4A78076A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pri spozorovaní ľudí alebo vozidiel okamžite neutečie. Zastaví sa a pozoruje.</w:t>
            </w:r>
          </w:p>
        </w:tc>
        <w:tc>
          <w:tcPr>
            <w:tcW w:w="2835" w:type="dxa"/>
          </w:tcPr>
          <w:p w14:paraId="79C14CAA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Nie je nebezpečný</w:t>
            </w:r>
          </w:p>
        </w:tc>
        <w:tc>
          <w:tcPr>
            <w:tcW w:w="2830" w:type="dxa"/>
          </w:tcPr>
          <w:p w14:paraId="07A709D3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Nie sú potrebné žiadne</w:t>
            </w:r>
          </w:p>
          <w:p w14:paraId="2E30A511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opatrenia.</w:t>
            </w:r>
          </w:p>
        </w:tc>
      </w:tr>
      <w:tr w:rsidR="00FC1311" w:rsidRPr="00FC1311" w14:paraId="65A23466" w14:textId="77777777" w:rsidTr="00EE0E18">
        <w:tc>
          <w:tcPr>
            <w:tcW w:w="3397" w:type="dxa"/>
          </w:tcPr>
          <w:p w14:paraId="7F568272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je pozorovaný počas niekoľkých dní vo vzdialenosti kratšej ako 30 m od obývaných domov ( viac pozorovaní v dlhšom časovom období )</w:t>
            </w:r>
          </w:p>
        </w:tc>
        <w:tc>
          <w:tcPr>
            <w:tcW w:w="2835" w:type="dxa"/>
          </w:tcPr>
          <w:p w14:paraId="34D73CF6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Vyžaduje pozornosť.</w:t>
            </w:r>
          </w:p>
          <w:p w14:paraId="404A726C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Možným problémom silná</w:t>
            </w:r>
          </w:p>
          <w:p w14:paraId="031476E6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C1311">
              <w:rPr>
                <w:rFonts w:cstheme="minorHAnsi"/>
                <w:sz w:val="24"/>
                <w:szCs w:val="24"/>
              </w:rPr>
              <w:t>habituácia</w:t>
            </w:r>
            <w:proofErr w:type="spellEnd"/>
            <w:r w:rsidRPr="00FC1311">
              <w:rPr>
                <w:rFonts w:cstheme="minorHAnsi"/>
                <w:sz w:val="24"/>
                <w:szCs w:val="24"/>
              </w:rPr>
              <w:t xml:space="preserve"> alebo pozitívne</w:t>
            </w:r>
          </w:p>
          <w:p w14:paraId="43220AFB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podmieňovanie.</w:t>
            </w:r>
          </w:p>
        </w:tc>
        <w:tc>
          <w:tcPr>
            <w:tcW w:w="2830" w:type="dxa"/>
          </w:tcPr>
          <w:p w14:paraId="0C0C0639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Analyzujte situáciu.</w:t>
            </w:r>
          </w:p>
          <w:p w14:paraId="44576451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Hľadajte a pokiaľ možno</w:t>
            </w:r>
          </w:p>
          <w:p w14:paraId="67B04653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 xml:space="preserve">odstráňte </w:t>
            </w:r>
            <w:proofErr w:type="spellStart"/>
            <w:r w:rsidRPr="00FC1311">
              <w:rPr>
                <w:rFonts w:cstheme="minorHAnsi"/>
                <w:sz w:val="24"/>
                <w:szCs w:val="24"/>
              </w:rPr>
              <w:t>atraktanty</w:t>
            </w:r>
            <w:proofErr w:type="spellEnd"/>
            <w:r w:rsidRPr="00FC1311">
              <w:rPr>
                <w:rFonts w:cstheme="minorHAnsi"/>
                <w:sz w:val="24"/>
                <w:szCs w:val="24"/>
              </w:rPr>
              <w:t>.</w:t>
            </w:r>
          </w:p>
          <w:p w14:paraId="7086C241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Zvážte negatívne</w:t>
            </w:r>
          </w:p>
          <w:p w14:paraId="7CD72B39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podmieňovanie.</w:t>
            </w:r>
          </w:p>
        </w:tc>
      </w:tr>
      <w:tr w:rsidR="00FC1311" w:rsidRPr="00FC1311" w14:paraId="62FBFAEE" w14:textId="77777777" w:rsidTr="00EE0E18">
        <w:tc>
          <w:tcPr>
            <w:tcW w:w="3397" w:type="dxa"/>
          </w:tcPr>
          <w:p w14:paraId="1AC10F4A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opakovane dovoľuje</w:t>
            </w:r>
          </w:p>
          <w:p w14:paraId="7B744260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ľuďom, aby sa k nemu</w:t>
            </w:r>
          </w:p>
          <w:p w14:paraId="36235B6E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priblížili na vzdialenosť kratšiu</w:t>
            </w:r>
          </w:p>
          <w:p w14:paraId="05775CDD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ako 30 metrov.</w:t>
            </w:r>
          </w:p>
        </w:tc>
        <w:tc>
          <w:tcPr>
            <w:tcW w:w="2835" w:type="dxa"/>
          </w:tcPr>
          <w:p w14:paraId="4F322BDA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Vyžaduje pozornosť.</w:t>
            </w:r>
          </w:p>
          <w:p w14:paraId="52C9326B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 xml:space="preserve">Naznačuje silnú </w:t>
            </w:r>
            <w:proofErr w:type="spellStart"/>
            <w:r w:rsidRPr="00FC1311">
              <w:rPr>
                <w:rFonts w:cstheme="minorHAnsi"/>
                <w:sz w:val="24"/>
                <w:szCs w:val="24"/>
              </w:rPr>
              <w:t>habituáciu</w:t>
            </w:r>
            <w:proofErr w:type="spellEnd"/>
            <w:r w:rsidRPr="00FC1311">
              <w:rPr>
                <w:rFonts w:cstheme="minorHAnsi"/>
                <w:sz w:val="24"/>
                <w:szCs w:val="24"/>
              </w:rPr>
              <w:t>.</w:t>
            </w:r>
          </w:p>
          <w:p w14:paraId="0BA0261D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Možný problém pozitívneho</w:t>
            </w:r>
          </w:p>
          <w:p w14:paraId="19E2E7F3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podmieňovania.</w:t>
            </w:r>
          </w:p>
        </w:tc>
        <w:tc>
          <w:tcPr>
            <w:tcW w:w="2830" w:type="dxa"/>
          </w:tcPr>
          <w:p w14:paraId="30E91EB5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Analyzujte situáciu.</w:t>
            </w:r>
          </w:p>
          <w:p w14:paraId="7A4BDFE4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Zvážte negatívne</w:t>
            </w:r>
          </w:p>
          <w:p w14:paraId="4BD91B5F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podmieňovanie.</w:t>
            </w:r>
          </w:p>
        </w:tc>
      </w:tr>
      <w:tr w:rsidR="00FC1311" w:rsidRPr="00FC1311" w14:paraId="049B85B8" w14:textId="77777777" w:rsidTr="00EE0E18">
        <w:tc>
          <w:tcPr>
            <w:tcW w:w="3397" w:type="dxa"/>
          </w:tcPr>
          <w:p w14:paraId="77D65A1E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sa sám opakovane</w:t>
            </w:r>
          </w:p>
          <w:p w14:paraId="754C330C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približuje k ľuďom na</w:t>
            </w:r>
          </w:p>
          <w:p w14:paraId="074F40D5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vzdialenosť kratšiu ako 30</w:t>
            </w:r>
          </w:p>
          <w:p w14:paraId="0676ED65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metrov. Zdá sa, že javí záujem</w:t>
            </w:r>
          </w:p>
          <w:p w14:paraId="1B7DF025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o ľudí.</w:t>
            </w:r>
          </w:p>
        </w:tc>
        <w:tc>
          <w:tcPr>
            <w:tcW w:w="2835" w:type="dxa"/>
          </w:tcPr>
          <w:p w14:paraId="4972749D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Vyžaduje pozornosť / kritická</w:t>
            </w:r>
          </w:p>
          <w:p w14:paraId="46F07537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situácia.</w:t>
            </w:r>
          </w:p>
          <w:p w14:paraId="11CD9214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Pozitívne podmieňovanie a</w:t>
            </w:r>
          </w:p>
          <w:p w14:paraId="1669CD9A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 xml:space="preserve">silná </w:t>
            </w:r>
            <w:proofErr w:type="spellStart"/>
            <w:r w:rsidRPr="00FC1311">
              <w:rPr>
                <w:rFonts w:cstheme="minorHAnsi"/>
                <w:sz w:val="24"/>
                <w:szCs w:val="24"/>
              </w:rPr>
              <w:t>habituácia</w:t>
            </w:r>
            <w:proofErr w:type="spellEnd"/>
            <w:r w:rsidRPr="00FC1311">
              <w:rPr>
                <w:rFonts w:cstheme="minorHAnsi"/>
                <w:sz w:val="24"/>
                <w:szCs w:val="24"/>
              </w:rPr>
              <w:t xml:space="preserve"> môžu viesť</w:t>
            </w:r>
          </w:p>
          <w:p w14:paraId="74015998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k stále odvážnejšiemu</w:t>
            </w:r>
          </w:p>
          <w:p w14:paraId="72D71573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správaniu. Riziko zranenia.</w:t>
            </w:r>
          </w:p>
        </w:tc>
        <w:tc>
          <w:tcPr>
            <w:tcW w:w="2830" w:type="dxa"/>
          </w:tcPr>
          <w:p w14:paraId="405ED915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Zvážte negatívne</w:t>
            </w:r>
          </w:p>
          <w:p w14:paraId="11BAE1A9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podmieňovanie.</w:t>
            </w:r>
          </w:p>
          <w:p w14:paraId="496FBA81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Ak nie je vhodná metóda</w:t>
            </w:r>
          </w:p>
          <w:p w14:paraId="5E52C3D9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negatívneho podmieňovania</w:t>
            </w:r>
          </w:p>
          <w:p w14:paraId="283045A2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úspešná alebo ju nemožno z</w:t>
            </w:r>
          </w:p>
          <w:p w14:paraId="5EEC1D9C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nejakého dôvodu uplatniť,</w:t>
            </w:r>
          </w:p>
          <w:p w14:paraId="2338C7A2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zvážte odstránenie vlka z</w:t>
            </w:r>
          </w:p>
          <w:p w14:paraId="544F6326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populácie.</w:t>
            </w:r>
          </w:p>
        </w:tc>
      </w:tr>
      <w:tr w:rsidR="00FC1311" w:rsidRPr="00FC1311" w14:paraId="0B34A0B2" w14:textId="77777777" w:rsidTr="00EE0E18">
        <w:tc>
          <w:tcPr>
            <w:tcW w:w="3397" w:type="dxa"/>
          </w:tcPr>
          <w:p w14:paraId="5D65A04F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Vlk napadne či zraní</w:t>
            </w:r>
          </w:p>
          <w:p w14:paraId="1EC3E6F2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človeka bez toho, aby bol</w:t>
            </w:r>
          </w:p>
          <w:p w14:paraId="5C7F8923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vyprovokovaný.</w:t>
            </w:r>
          </w:p>
        </w:tc>
        <w:tc>
          <w:tcPr>
            <w:tcW w:w="2835" w:type="dxa"/>
          </w:tcPr>
          <w:p w14:paraId="23BCD889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Nebezpečné</w:t>
            </w:r>
          </w:p>
        </w:tc>
        <w:tc>
          <w:tcPr>
            <w:tcW w:w="2830" w:type="dxa"/>
          </w:tcPr>
          <w:p w14:paraId="1ECBCAED" w14:textId="77777777" w:rsidR="00FC1311" w:rsidRPr="00FC1311" w:rsidRDefault="00FC1311" w:rsidP="00EE0E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311">
              <w:rPr>
                <w:rFonts w:cstheme="minorHAnsi"/>
                <w:sz w:val="24"/>
                <w:szCs w:val="24"/>
              </w:rPr>
              <w:t>Odstrániť</w:t>
            </w:r>
          </w:p>
        </w:tc>
      </w:tr>
    </w:tbl>
    <w:p w14:paraId="7D0581C9" w14:textId="77777777" w:rsidR="00FC1311" w:rsidRPr="00FC1311" w:rsidRDefault="00FC1311" w:rsidP="00FC1311">
      <w:pPr>
        <w:spacing w:after="0"/>
        <w:jc w:val="both"/>
        <w:rPr>
          <w:rFonts w:cstheme="minorHAnsi"/>
          <w:sz w:val="24"/>
          <w:szCs w:val="24"/>
        </w:rPr>
      </w:pPr>
    </w:p>
    <w:p w14:paraId="5750F3E7" w14:textId="77777777" w:rsidR="00FC1311" w:rsidRPr="00FC1311" w:rsidRDefault="00FC1311" w:rsidP="00FC1311">
      <w:pPr>
        <w:spacing w:after="0"/>
        <w:jc w:val="both"/>
        <w:rPr>
          <w:rFonts w:cstheme="minorHAnsi"/>
          <w:sz w:val="24"/>
          <w:szCs w:val="24"/>
        </w:rPr>
      </w:pPr>
    </w:p>
    <w:p w14:paraId="57A9D6BC" w14:textId="77777777" w:rsidR="00FC1311" w:rsidRPr="00FC1311" w:rsidRDefault="00FC1311" w:rsidP="00FC1311">
      <w:pPr>
        <w:spacing w:after="0"/>
        <w:jc w:val="both"/>
        <w:rPr>
          <w:rFonts w:cstheme="minorHAnsi"/>
          <w:sz w:val="24"/>
          <w:szCs w:val="24"/>
        </w:rPr>
      </w:pPr>
    </w:p>
    <w:p w14:paraId="299FC0C4" w14:textId="77777777" w:rsidR="00FC1311" w:rsidRPr="00FC1311" w:rsidRDefault="00FC1311" w:rsidP="00FC1311">
      <w:pPr>
        <w:spacing w:after="0"/>
        <w:jc w:val="both"/>
        <w:rPr>
          <w:rFonts w:cstheme="minorHAnsi"/>
          <w:sz w:val="24"/>
          <w:szCs w:val="24"/>
        </w:rPr>
      </w:pPr>
    </w:p>
    <w:p w14:paraId="70B2EA34" w14:textId="77777777" w:rsidR="00FC1311" w:rsidRPr="00FC1311" w:rsidRDefault="00FC1311" w:rsidP="00FC1311">
      <w:pPr>
        <w:spacing w:after="0"/>
        <w:rPr>
          <w:rFonts w:cstheme="minorHAnsi"/>
          <w:sz w:val="24"/>
          <w:szCs w:val="24"/>
        </w:rPr>
      </w:pPr>
    </w:p>
    <w:p w14:paraId="1ACFC647" w14:textId="77777777" w:rsidR="00FC1311" w:rsidRPr="00FC1311" w:rsidRDefault="00FC1311" w:rsidP="00FC1311">
      <w:pPr>
        <w:spacing w:after="0"/>
        <w:rPr>
          <w:rFonts w:cstheme="minorHAnsi"/>
          <w:sz w:val="24"/>
          <w:szCs w:val="24"/>
        </w:rPr>
      </w:pPr>
    </w:p>
    <w:p w14:paraId="2FF64F29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1747A8AC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331E7A9E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3352D8B7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0C50ABBE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0DD94189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62B3F05F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2C1950EB" w14:textId="77777777" w:rsidR="00FC1311" w:rsidRDefault="00FC1311" w:rsidP="00FC1311">
      <w:pPr>
        <w:spacing w:after="0"/>
        <w:rPr>
          <w:rFonts w:ascii="Times New Roman" w:hAnsi="Times New Roman" w:cs="Times New Roman"/>
        </w:rPr>
      </w:pPr>
    </w:p>
    <w:p w14:paraId="2FB67CF2" w14:textId="77777777" w:rsidR="003A23ED" w:rsidRDefault="003A23ED"/>
    <w:sectPr w:rsidR="003A23E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11"/>
    <w:rsid w:val="003A23ED"/>
    <w:rsid w:val="00F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A630"/>
  <w15:chartTrackingRefBased/>
  <w15:docId w15:val="{486A0CED-F94A-4EDA-8361-2F77DDC5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311"/>
    <w:rPr>
      <w:kern w:val="0"/>
      <w:lang w:val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C1311"/>
    <w:pPr>
      <w:spacing w:after="0" w:line="240" w:lineRule="auto"/>
    </w:pPr>
    <w:rPr>
      <w:kern w:val="0"/>
      <w:lang w:val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Marko</dc:creator>
  <cp:keywords/>
  <dc:description/>
  <cp:lastModifiedBy>Jozef Marko</cp:lastModifiedBy>
  <cp:revision>1</cp:revision>
  <dcterms:created xsi:type="dcterms:W3CDTF">2024-01-30T04:46:00Z</dcterms:created>
  <dcterms:modified xsi:type="dcterms:W3CDTF">2024-01-30T04:47:00Z</dcterms:modified>
</cp:coreProperties>
</file>